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4"/>
        <w:tblW w:w="22665" w:type="dxa"/>
        <w:tblLayout w:type="fixed"/>
        <w:tblLook w:val="04A0" w:firstRow="1" w:lastRow="0" w:firstColumn="1" w:lastColumn="0" w:noHBand="0" w:noVBand="1"/>
      </w:tblPr>
      <w:tblGrid>
        <w:gridCol w:w="550"/>
        <w:gridCol w:w="4385"/>
        <w:gridCol w:w="3690"/>
        <w:gridCol w:w="2970"/>
        <w:gridCol w:w="3780"/>
        <w:gridCol w:w="3060"/>
        <w:gridCol w:w="2340"/>
        <w:gridCol w:w="1890"/>
      </w:tblGrid>
      <w:tr w:rsidR="004C2EC3" w:rsidRPr="00FA70D2" w:rsidTr="00B6344B">
        <w:trPr>
          <w:trHeight w:val="546"/>
        </w:trPr>
        <w:tc>
          <w:tcPr>
            <w:tcW w:w="493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C2EC3" w:rsidRPr="009F55B9" w:rsidRDefault="00E65CCD" w:rsidP="0082034D">
            <w:pPr>
              <w:jc w:val="center"/>
              <w:rPr>
                <w:rFonts w:ascii="Calibri" w:hAnsi="Calibri"/>
                <w:b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6"/>
                <w:szCs w:val="26"/>
              </w:rPr>
              <w:t>Social Studies Grade 2</w:t>
            </w:r>
          </w:p>
        </w:tc>
        <w:tc>
          <w:tcPr>
            <w:tcW w:w="1773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C2EC3" w:rsidRPr="00317B98" w:rsidRDefault="004C2EC3" w:rsidP="0082034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317B98">
              <w:rPr>
                <w:rFonts w:asciiTheme="minorHAnsi" w:hAnsiTheme="minorHAnsi"/>
                <w:b/>
              </w:rPr>
              <w:t>BIG IDEAS</w:t>
            </w:r>
            <w:r>
              <w:rPr>
                <w:rFonts w:asciiTheme="minorHAnsi" w:hAnsiTheme="minorHAnsi"/>
                <w:b/>
              </w:rPr>
              <w:t xml:space="preserve"> (UNDERSTAND)</w:t>
            </w:r>
          </w:p>
        </w:tc>
      </w:tr>
      <w:tr w:rsidR="00461C4A" w:rsidRPr="00FA70D2" w:rsidTr="00B6344B">
        <w:trPr>
          <w:trHeight w:val="1638"/>
        </w:trPr>
        <w:tc>
          <w:tcPr>
            <w:tcW w:w="49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1C4A" w:rsidRPr="005F051E" w:rsidRDefault="00461C4A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1C4A" w:rsidRPr="00D32B02" w:rsidRDefault="00461C4A" w:rsidP="0082034D">
            <w:pPr>
              <w:pStyle w:val="NormalWeb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t xml:space="preserve"> </w:t>
            </w:r>
            <w:r w:rsidR="001C3D8F">
              <w:t>Local actions have global consequences, and global actions have local consequences.</w:t>
            </w:r>
          </w:p>
        </w:tc>
        <w:tc>
          <w:tcPr>
            <w:tcW w:w="675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1C4A" w:rsidRPr="00D32B02" w:rsidRDefault="00461C4A" w:rsidP="0082034D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1C3D8F">
              <w:t>Canada is made up of many diverse regions and communities.</w:t>
            </w:r>
          </w:p>
        </w:tc>
        <w:tc>
          <w:tcPr>
            <w:tcW w:w="729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1C4A" w:rsidRPr="00D32B02" w:rsidRDefault="00461C4A" w:rsidP="0047572C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1C3D8F">
              <w:t xml:space="preserve"> Individuals have rights and responsibilities as global citizens.</w:t>
            </w:r>
          </w:p>
        </w:tc>
      </w:tr>
      <w:tr w:rsidR="000A0005" w:rsidRPr="00FA70D2" w:rsidTr="00DA0265">
        <w:trPr>
          <w:trHeight w:val="633"/>
        </w:trPr>
        <w:tc>
          <w:tcPr>
            <w:tcW w:w="493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A0005" w:rsidRDefault="000A0005" w:rsidP="0047572C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0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A0005" w:rsidRPr="000A0005" w:rsidRDefault="000A0005" w:rsidP="000A0005">
            <w:pPr>
              <w:jc w:val="center"/>
              <w:rPr>
                <w:b/>
              </w:rPr>
            </w:pPr>
            <w:r w:rsidRPr="000A0005">
              <w:rPr>
                <w:b/>
              </w:rPr>
              <w:t>Content (KNOW)</w:t>
            </w:r>
          </w:p>
        </w:tc>
      </w:tr>
      <w:tr w:rsidR="000A0005" w:rsidRPr="00FA70D2" w:rsidTr="004877AA">
        <w:trPr>
          <w:trHeight w:val="1546"/>
        </w:trPr>
        <w:tc>
          <w:tcPr>
            <w:tcW w:w="493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A0005" w:rsidRDefault="000A0005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Curricular Competencies </w:t>
            </w:r>
          </w:p>
          <w:p w:rsidR="000A0005" w:rsidRPr="00FA70D2" w:rsidRDefault="000A0005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(DO)</w:t>
            </w: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77AA" w:rsidRPr="004C2EC3" w:rsidRDefault="001C3D8F" w:rsidP="00AC4BC2">
            <w:r>
              <w:t>relationships between people and the environment in different communities</w:t>
            </w:r>
          </w:p>
        </w:tc>
        <w:tc>
          <w:tcPr>
            <w:tcW w:w="29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05" w:rsidRPr="004877AA" w:rsidRDefault="001C3D8F" w:rsidP="004877AA">
            <w:r>
              <w:t>diverse features of the environment in other parts of Canada and the world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77AA" w:rsidRPr="002D793D" w:rsidRDefault="001C3D8F" w:rsidP="00AC4BC2">
            <w:r>
              <w:t>diverse characteristics of communities and cultures in Canada and around the world, including at least one Canadian First Peoples community and culture</w:t>
            </w:r>
          </w:p>
        </w:tc>
        <w:tc>
          <w:tcPr>
            <w:tcW w:w="30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05" w:rsidRPr="004877AA" w:rsidRDefault="001C3D8F" w:rsidP="0082034D">
            <w:pPr>
              <w:rPr>
                <w:rFonts w:cs="Calibri"/>
              </w:rPr>
            </w:pPr>
            <w:r>
              <w:t>rights and responsibilities of individuals regionally and globally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77AA" w:rsidRPr="004877AA" w:rsidRDefault="001C3D8F" w:rsidP="0082034D">
            <w:r>
              <w:t>how people’s needs and wants are met in communities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77AA" w:rsidRPr="004877AA" w:rsidRDefault="001C3D8F" w:rsidP="0082034D">
            <w:pPr>
              <w:rPr>
                <w:rFonts w:cs="Calibri"/>
              </w:rPr>
            </w:pPr>
            <w:r>
              <w:t>roles and responsibilities of regional governments</w:t>
            </w:r>
          </w:p>
        </w:tc>
      </w:tr>
      <w:tr w:rsidR="00B6344B" w:rsidRPr="00FA70D2" w:rsidTr="004877AA">
        <w:trPr>
          <w:trHeight w:val="77"/>
        </w:trPr>
        <w:tc>
          <w:tcPr>
            <w:tcW w:w="493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44B" w:rsidRDefault="00B6344B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344B" w:rsidRPr="00551F97" w:rsidRDefault="00B6344B" w:rsidP="00B6344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Inquiry Question</w:t>
            </w:r>
            <w:r w:rsidR="00774A2C">
              <w:rPr>
                <w:rFonts w:cs="Calibri"/>
              </w:rPr>
              <w:t>(s)</w:t>
            </w:r>
          </w:p>
        </w:tc>
        <w:tc>
          <w:tcPr>
            <w:tcW w:w="675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344B" w:rsidRPr="00551F97" w:rsidRDefault="00B6344B" w:rsidP="00845C3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Inquiry Question</w:t>
            </w:r>
            <w:r w:rsidR="00774A2C">
              <w:rPr>
                <w:rFonts w:cs="Calibri"/>
              </w:rPr>
              <w:t>(s)</w:t>
            </w:r>
          </w:p>
        </w:tc>
        <w:tc>
          <w:tcPr>
            <w:tcW w:w="729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344B" w:rsidRPr="00551F97" w:rsidRDefault="00B6344B" w:rsidP="00B6344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Inquiry Question</w:t>
            </w:r>
            <w:r w:rsidR="00774A2C">
              <w:rPr>
                <w:rFonts w:cs="Calibri"/>
              </w:rPr>
              <w:t>(s)</w:t>
            </w:r>
          </w:p>
        </w:tc>
      </w:tr>
      <w:tr w:rsidR="00B6344B" w:rsidRPr="00FA70D2" w:rsidTr="004877AA">
        <w:trPr>
          <w:trHeight w:val="1422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B6344B" w:rsidRPr="0003171B" w:rsidRDefault="00B6344B" w:rsidP="0082034D">
            <w:pPr>
              <w:spacing w:before="100" w:beforeAutospacing="1" w:after="100" w:afterAutospacing="1"/>
              <w:ind w:left="113" w:right="113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  <w:r>
              <w:rPr>
                <w:rFonts w:ascii="Calibri" w:hAnsi="Calibri" w:cs="Helvetica"/>
                <w:b/>
                <w:color w:val="3B3B3B"/>
                <w:szCs w:val="20"/>
              </w:rPr>
              <w:t>Thinking  - Communication – Personal &amp; Social</w:t>
            </w:r>
          </w:p>
        </w:tc>
        <w:tc>
          <w:tcPr>
            <w:tcW w:w="438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82034D" w:rsidRDefault="001C3D8F" w:rsidP="0082034D">
            <w:pPr>
              <w:ind w:right="251"/>
              <w:rPr>
                <w:rFonts w:cs="Times New Roman"/>
                <w:szCs w:val="24"/>
              </w:rPr>
            </w:pPr>
            <w:r>
              <w:t>Use Social Studies inquiry processes and skills to ask questions; gather, interpret, and analyze ideas; and communicate findings and decisions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B6344B" w:rsidRPr="00FA70D2" w:rsidTr="00B6344B">
        <w:trPr>
          <w:trHeight w:val="1163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6344B" w:rsidRPr="0003171B" w:rsidRDefault="00B6344B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</w:p>
        </w:tc>
        <w:tc>
          <w:tcPr>
            <w:tcW w:w="4385" w:type="dxa"/>
            <w:tcBorders>
              <w:right w:val="double" w:sz="4" w:space="0" w:color="auto"/>
            </w:tcBorders>
            <w:shd w:val="clear" w:color="auto" w:fill="auto"/>
          </w:tcPr>
          <w:p w:rsidR="00B6344B" w:rsidRPr="0082034D" w:rsidRDefault="001C3D8F" w:rsidP="0082034D">
            <w:pPr>
              <w:ind w:right="251"/>
              <w:rPr>
                <w:rFonts w:cs="Times New Roman"/>
                <w:szCs w:val="24"/>
              </w:rPr>
            </w:pPr>
            <w:r>
              <w:t>Explain why people, events, or places are significant to various individuals and groups (significance)</w:t>
            </w:r>
          </w:p>
        </w:tc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B6344B" w:rsidRPr="00FA70D2" w:rsidTr="00B6344B">
        <w:trPr>
          <w:trHeight w:val="1236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6344B" w:rsidRPr="0003171B" w:rsidRDefault="00B6344B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385" w:type="dxa"/>
            <w:tcBorders>
              <w:right w:val="double" w:sz="4" w:space="0" w:color="auto"/>
            </w:tcBorders>
            <w:shd w:val="clear" w:color="auto" w:fill="auto"/>
          </w:tcPr>
          <w:p w:rsidR="00B6344B" w:rsidRPr="0082034D" w:rsidRDefault="001C3D8F" w:rsidP="0082034D">
            <w:pPr>
              <w:ind w:right="251"/>
              <w:rPr>
                <w:rFonts w:cs="Times New Roman"/>
                <w:szCs w:val="24"/>
              </w:rPr>
            </w:pPr>
            <w:r>
              <w:t>Ask questions, make inferences, and draw conclusions about the content and features of different types of sources (evidence)</w:t>
            </w:r>
          </w:p>
        </w:tc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B6344B" w:rsidRPr="00FA70D2" w:rsidTr="00B6344B">
        <w:trPr>
          <w:trHeight w:val="641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6344B" w:rsidRDefault="00B6344B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double" w:sz="4" w:space="0" w:color="auto"/>
            </w:tcBorders>
            <w:shd w:val="clear" w:color="auto" w:fill="auto"/>
          </w:tcPr>
          <w:p w:rsidR="00B6344B" w:rsidRPr="0082034D" w:rsidRDefault="001C3D8F" w:rsidP="0082034D">
            <w:pPr>
              <w:ind w:right="251"/>
              <w:rPr>
                <w:rFonts w:cs="Times New Roman"/>
                <w:szCs w:val="24"/>
              </w:rPr>
            </w:pPr>
            <w:r>
              <w:t>Sequence objects, images, and events, or explain why some aspects change and others stay the same (continuity and change)</w:t>
            </w:r>
          </w:p>
        </w:tc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B6344B" w:rsidRPr="00FA70D2" w:rsidTr="00B6344B">
        <w:trPr>
          <w:trHeight w:val="1082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6344B" w:rsidRDefault="00B6344B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double" w:sz="4" w:space="0" w:color="auto"/>
            </w:tcBorders>
            <w:shd w:val="clear" w:color="auto" w:fill="auto"/>
          </w:tcPr>
          <w:p w:rsidR="00B6344B" w:rsidRPr="0082034D" w:rsidRDefault="001C3D8F" w:rsidP="0082034D">
            <w:pPr>
              <w:ind w:right="251"/>
              <w:rPr>
                <w:rFonts w:cs="Times New Roman"/>
                <w:szCs w:val="24"/>
              </w:rPr>
            </w:pPr>
            <w:r>
              <w:t>Recognize the causes and consequences of events, decisions, or developments (cause and consequence)</w:t>
            </w:r>
          </w:p>
        </w:tc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Pr="00FA70D2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B6344B" w:rsidRPr="00FA70D2" w:rsidTr="00B6344B">
        <w:trPr>
          <w:trHeight w:val="871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  <w:textDirection w:val="btLr"/>
          </w:tcPr>
          <w:p w:rsidR="00B6344B" w:rsidRPr="0003171B" w:rsidRDefault="00B6344B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385" w:type="dxa"/>
            <w:tcBorders>
              <w:right w:val="double" w:sz="4" w:space="0" w:color="auto"/>
            </w:tcBorders>
            <w:shd w:val="clear" w:color="auto" w:fill="auto"/>
          </w:tcPr>
          <w:p w:rsidR="00B6344B" w:rsidRPr="0082034D" w:rsidRDefault="001C3D8F" w:rsidP="0082034D">
            <w:pPr>
              <w:ind w:right="251"/>
              <w:rPr>
                <w:rFonts w:cs="Times New Roman"/>
                <w:szCs w:val="24"/>
              </w:rPr>
            </w:pPr>
            <w:r>
              <w:t>Explain why people’s beliefs, values, worldviews, experiences, and roles give them different perspectives on people, places, issues, or events (perspective)</w:t>
            </w:r>
          </w:p>
        </w:tc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B6344B" w:rsidRPr="00FA70D2" w:rsidTr="00B6344B">
        <w:trPr>
          <w:trHeight w:val="867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B6344B" w:rsidRPr="0003171B" w:rsidRDefault="00B6344B" w:rsidP="0082034D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385" w:type="dxa"/>
            <w:tcBorders>
              <w:right w:val="double" w:sz="4" w:space="0" w:color="auto"/>
            </w:tcBorders>
            <w:shd w:val="clear" w:color="auto" w:fill="auto"/>
          </w:tcPr>
          <w:p w:rsidR="00B6344B" w:rsidRPr="0082034D" w:rsidRDefault="001C3D8F" w:rsidP="005B5A87">
            <w:pPr>
              <w:spacing w:after="40"/>
              <w:rPr>
                <w:rFonts w:cs="Times New Roman"/>
                <w:szCs w:val="24"/>
              </w:rPr>
            </w:pPr>
            <w:r>
              <w:t>Make value judgments about events, decisions, or actions, and suggest lessons that can be learned (ethical judgment)</w:t>
            </w:r>
          </w:p>
        </w:tc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344B" w:rsidRDefault="00B6344B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Default="00CB357A" w:rsidP="0082034D">
      <w:pPr>
        <w:rPr>
          <w:rFonts w:ascii="Calibri" w:hAnsi="Calibri"/>
          <w:sz w:val="20"/>
          <w:szCs w:val="20"/>
        </w:rPr>
      </w:pPr>
    </w:p>
    <w:sectPr w:rsidR="00CB357A" w:rsidSect="00E41140">
      <w:pgSz w:w="24480" w:h="15840" w:orient="landscape" w:code="17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171B"/>
    <w:rsid w:val="00033575"/>
    <w:rsid w:val="000A0005"/>
    <w:rsid w:val="00103E5D"/>
    <w:rsid w:val="00132C8A"/>
    <w:rsid w:val="00193D1A"/>
    <w:rsid w:val="001B4B7E"/>
    <w:rsid w:val="001C3D8F"/>
    <w:rsid w:val="001F2792"/>
    <w:rsid w:val="00225834"/>
    <w:rsid w:val="00296A39"/>
    <w:rsid w:val="00296F56"/>
    <w:rsid w:val="002D793D"/>
    <w:rsid w:val="002F3374"/>
    <w:rsid w:val="00317B98"/>
    <w:rsid w:val="0032553F"/>
    <w:rsid w:val="003A7787"/>
    <w:rsid w:val="003C07F0"/>
    <w:rsid w:val="003E1006"/>
    <w:rsid w:val="003E65CD"/>
    <w:rsid w:val="0040493D"/>
    <w:rsid w:val="0045143D"/>
    <w:rsid w:val="00461C4A"/>
    <w:rsid w:val="0047572C"/>
    <w:rsid w:val="0048584F"/>
    <w:rsid w:val="004877AA"/>
    <w:rsid w:val="004C2EC3"/>
    <w:rsid w:val="00500E63"/>
    <w:rsid w:val="0051060A"/>
    <w:rsid w:val="00516152"/>
    <w:rsid w:val="00550739"/>
    <w:rsid w:val="00551F97"/>
    <w:rsid w:val="00555A75"/>
    <w:rsid w:val="005828C1"/>
    <w:rsid w:val="005905CD"/>
    <w:rsid w:val="005B5A87"/>
    <w:rsid w:val="005D080D"/>
    <w:rsid w:val="005F051E"/>
    <w:rsid w:val="006447B9"/>
    <w:rsid w:val="0065470A"/>
    <w:rsid w:val="00684053"/>
    <w:rsid w:val="006C50D0"/>
    <w:rsid w:val="006D7AE1"/>
    <w:rsid w:val="00774A2C"/>
    <w:rsid w:val="007C4320"/>
    <w:rsid w:val="007F26D0"/>
    <w:rsid w:val="00806DD3"/>
    <w:rsid w:val="0082034D"/>
    <w:rsid w:val="00820CF4"/>
    <w:rsid w:val="00843A6A"/>
    <w:rsid w:val="00844739"/>
    <w:rsid w:val="00845C30"/>
    <w:rsid w:val="00861BC3"/>
    <w:rsid w:val="00864B92"/>
    <w:rsid w:val="00892DF9"/>
    <w:rsid w:val="008A34A1"/>
    <w:rsid w:val="008E1FB7"/>
    <w:rsid w:val="00902288"/>
    <w:rsid w:val="00903100"/>
    <w:rsid w:val="00980AFE"/>
    <w:rsid w:val="009A5927"/>
    <w:rsid w:val="009B5147"/>
    <w:rsid w:val="009C55EC"/>
    <w:rsid w:val="009E34AE"/>
    <w:rsid w:val="009F55B9"/>
    <w:rsid w:val="009F60D4"/>
    <w:rsid w:val="00A16F39"/>
    <w:rsid w:val="00A26F43"/>
    <w:rsid w:val="00A3744E"/>
    <w:rsid w:val="00AA4754"/>
    <w:rsid w:val="00AC4886"/>
    <w:rsid w:val="00AC4BC2"/>
    <w:rsid w:val="00AF4F2C"/>
    <w:rsid w:val="00AF637F"/>
    <w:rsid w:val="00AF6FF6"/>
    <w:rsid w:val="00B221F8"/>
    <w:rsid w:val="00B54032"/>
    <w:rsid w:val="00B6344B"/>
    <w:rsid w:val="00BA2579"/>
    <w:rsid w:val="00BE031D"/>
    <w:rsid w:val="00BE1682"/>
    <w:rsid w:val="00C13327"/>
    <w:rsid w:val="00C177D0"/>
    <w:rsid w:val="00C20156"/>
    <w:rsid w:val="00C2753C"/>
    <w:rsid w:val="00C638A1"/>
    <w:rsid w:val="00C75793"/>
    <w:rsid w:val="00C830F0"/>
    <w:rsid w:val="00C83E1C"/>
    <w:rsid w:val="00C87084"/>
    <w:rsid w:val="00C934C7"/>
    <w:rsid w:val="00CB357A"/>
    <w:rsid w:val="00CB3E9E"/>
    <w:rsid w:val="00D24545"/>
    <w:rsid w:val="00D32B02"/>
    <w:rsid w:val="00D33AEA"/>
    <w:rsid w:val="00D41C97"/>
    <w:rsid w:val="00D53F0A"/>
    <w:rsid w:val="00D92F00"/>
    <w:rsid w:val="00D970FE"/>
    <w:rsid w:val="00D97848"/>
    <w:rsid w:val="00DA0265"/>
    <w:rsid w:val="00DC3A37"/>
    <w:rsid w:val="00E3153C"/>
    <w:rsid w:val="00E31B66"/>
    <w:rsid w:val="00E341B7"/>
    <w:rsid w:val="00E37F58"/>
    <w:rsid w:val="00E41140"/>
    <w:rsid w:val="00E65CCD"/>
    <w:rsid w:val="00E777C3"/>
    <w:rsid w:val="00E8448A"/>
    <w:rsid w:val="00E95660"/>
    <w:rsid w:val="00E97EE9"/>
    <w:rsid w:val="00EF7371"/>
    <w:rsid w:val="00F02C37"/>
    <w:rsid w:val="00F63BC7"/>
    <w:rsid w:val="00F64B89"/>
    <w:rsid w:val="00F66A9B"/>
    <w:rsid w:val="00FA70D2"/>
    <w:rsid w:val="00FB25D8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2B02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7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BFBB-CB63-4073-8317-E185B19B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2015-12-15T20:11:00Z</cp:lastPrinted>
  <dcterms:created xsi:type="dcterms:W3CDTF">2016-09-02T17:52:00Z</dcterms:created>
  <dcterms:modified xsi:type="dcterms:W3CDTF">2016-09-02T17:52:00Z</dcterms:modified>
</cp:coreProperties>
</file>